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A5C0" w14:textId="77777777" w:rsidR="00E82257" w:rsidRPr="006732B7" w:rsidRDefault="00E82257">
      <w:pPr>
        <w:rPr>
          <w:szCs w:val="24"/>
        </w:rPr>
      </w:pPr>
    </w:p>
    <w:p w14:paraId="3462661B" w14:textId="77777777" w:rsidR="006732B7" w:rsidRPr="00473008" w:rsidRDefault="006732B7" w:rsidP="006732B7">
      <w:pPr>
        <w:autoSpaceDE w:val="0"/>
        <w:autoSpaceDN w:val="0"/>
        <w:adjustRightInd w:val="0"/>
        <w:jc w:val="right"/>
        <w:rPr>
          <w:rFonts w:eastAsia="Calibri"/>
          <w:b/>
        </w:rPr>
      </w:pPr>
      <w:r w:rsidRPr="00473008">
        <w:rPr>
          <w:rFonts w:eastAsia="Calibri"/>
          <w:b/>
        </w:rPr>
        <w:t>Акционеру АО «</w:t>
      </w:r>
      <w:r w:rsidRPr="007D43B8">
        <w:rPr>
          <w:rFonts w:eastAsia="Calibri"/>
          <w:b/>
        </w:rPr>
        <w:t>В2В-РТС</w:t>
      </w:r>
      <w:r w:rsidRPr="00473008">
        <w:rPr>
          <w:rFonts w:eastAsia="Calibri"/>
          <w:b/>
        </w:rPr>
        <w:t xml:space="preserve">» </w:t>
      </w:r>
    </w:p>
    <w:p w14:paraId="3DF3EBDB" w14:textId="77777777" w:rsidR="006732B7" w:rsidRPr="00AD3944" w:rsidRDefault="006732B7" w:rsidP="006732B7">
      <w:pPr>
        <w:autoSpaceDE w:val="0"/>
        <w:autoSpaceDN w:val="0"/>
        <w:adjustRightInd w:val="0"/>
        <w:jc w:val="right"/>
        <w:rPr>
          <w:rFonts w:eastAsia="Calibri"/>
          <w:b/>
        </w:rPr>
      </w:pPr>
      <w:r>
        <w:rPr>
          <w:rFonts w:eastAsia="Calibri"/>
          <w:b/>
        </w:rPr>
        <w:t>«</w:t>
      </w:r>
      <w:r w:rsidR="00452749">
        <w:rPr>
          <w:rFonts w:eastAsia="Calibri"/>
          <w:b/>
        </w:rPr>
        <w:t xml:space="preserve">24» февраля </w:t>
      </w:r>
      <w:r>
        <w:rPr>
          <w:rFonts w:eastAsia="Calibri"/>
          <w:b/>
        </w:rPr>
        <w:t>2026</w:t>
      </w:r>
      <w:r w:rsidRPr="00AD3944">
        <w:rPr>
          <w:rFonts w:eastAsia="Calibri"/>
          <w:b/>
        </w:rPr>
        <w:t xml:space="preserve"> года</w:t>
      </w:r>
    </w:p>
    <w:p w14:paraId="51AC066D" w14:textId="77777777" w:rsidR="006732B7" w:rsidRDefault="006732B7" w:rsidP="007E2EA7">
      <w:pPr>
        <w:outlineLvl w:val="0"/>
        <w:rPr>
          <w:b/>
          <w:kern w:val="36"/>
          <w:szCs w:val="24"/>
        </w:rPr>
      </w:pPr>
    </w:p>
    <w:p w14:paraId="4F7F6395" w14:textId="77777777" w:rsidR="006732B7" w:rsidRPr="006732B7" w:rsidRDefault="006732B7" w:rsidP="0051021C">
      <w:pPr>
        <w:shd w:val="clear" w:color="auto" w:fill="FBE4D5" w:themeFill="accent2" w:themeFillTint="33"/>
        <w:jc w:val="center"/>
        <w:outlineLvl w:val="0"/>
        <w:rPr>
          <w:b/>
          <w:kern w:val="36"/>
          <w:szCs w:val="24"/>
        </w:rPr>
      </w:pPr>
      <w:r w:rsidRPr="006732B7">
        <w:rPr>
          <w:b/>
          <w:kern w:val="36"/>
          <w:szCs w:val="24"/>
        </w:rPr>
        <w:t xml:space="preserve">Сообщение </w:t>
      </w:r>
    </w:p>
    <w:p w14:paraId="651C18C1" w14:textId="77777777" w:rsidR="006732B7" w:rsidRPr="006732B7" w:rsidRDefault="006732B7" w:rsidP="0051021C">
      <w:pPr>
        <w:shd w:val="clear" w:color="auto" w:fill="FBE4D5" w:themeFill="accent2" w:themeFillTint="33"/>
        <w:jc w:val="center"/>
        <w:outlineLvl w:val="0"/>
        <w:rPr>
          <w:b/>
          <w:kern w:val="36"/>
          <w:szCs w:val="24"/>
        </w:rPr>
      </w:pPr>
      <w:r w:rsidRPr="006732B7">
        <w:rPr>
          <w:b/>
          <w:kern w:val="36"/>
          <w:szCs w:val="24"/>
        </w:rPr>
        <w:t xml:space="preserve">о проведении годового заседания </w:t>
      </w:r>
      <w:r w:rsidR="00AE3456">
        <w:rPr>
          <w:b/>
          <w:kern w:val="36"/>
          <w:szCs w:val="24"/>
        </w:rPr>
        <w:t>о</w:t>
      </w:r>
      <w:r w:rsidRPr="006732B7">
        <w:rPr>
          <w:b/>
          <w:kern w:val="36"/>
          <w:szCs w:val="24"/>
        </w:rPr>
        <w:t xml:space="preserve">бщего собрания акционеров </w:t>
      </w:r>
    </w:p>
    <w:p w14:paraId="01EE84DA" w14:textId="77777777" w:rsidR="006732B7" w:rsidRPr="0051021C" w:rsidRDefault="006732B7" w:rsidP="0051021C">
      <w:pPr>
        <w:shd w:val="clear" w:color="auto" w:fill="FBE4D5" w:themeFill="accent2" w:themeFillTint="33"/>
        <w:jc w:val="center"/>
        <w:outlineLvl w:val="0"/>
        <w:rPr>
          <w:b/>
          <w:kern w:val="36"/>
          <w:szCs w:val="24"/>
        </w:rPr>
      </w:pPr>
      <w:r w:rsidRPr="006732B7">
        <w:rPr>
          <w:b/>
          <w:kern w:val="36"/>
          <w:szCs w:val="24"/>
        </w:rPr>
        <w:tab/>
        <w:t>Акционерного общества «В2В-РТС»</w:t>
      </w:r>
      <w:r w:rsidRPr="006732B7">
        <w:rPr>
          <w:b/>
          <w:kern w:val="36"/>
          <w:szCs w:val="24"/>
        </w:rPr>
        <w:tab/>
      </w:r>
    </w:p>
    <w:p w14:paraId="366B3F6A" w14:textId="77777777" w:rsidR="00987D72" w:rsidRPr="00AD3944" w:rsidRDefault="00987D72" w:rsidP="00281A70">
      <w:pPr>
        <w:pStyle w:val="3"/>
        <w:keepNext w:val="0"/>
        <w:tabs>
          <w:tab w:val="left" w:pos="284"/>
          <w:tab w:val="left" w:pos="10206"/>
        </w:tabs>
        <w:spacing w:before="12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281A70">
        <w:rPr>
          <w:rFonts w:ascii="Times New Roman" w:hAnsi="Times New Roman"/>
          <w:iCs/>
          <w:sz w:val="24"/>
          <w:szCs w:val="24"/>
        </w:rPr>
        <w:t>Полное фирменное наименование Общества</w:t>
      </w:r>
      <w:r w:rsidRPr="00AD3944">
        <w:rPr>
          <w:rFonts w:ascii="Times New Roman" w:hAnsi="Times New Roman"/>
          <w:iCs/>
          <w:sz w:val="24"/>
          <w:szCs w:val="24"/>
        </w:rPr>
        <w:t>:</w:t>
      </w:r>
      <w:r w:rsidRPr="00AD3944">
        <w:rPr>
          <w:rFonts w:ascii="Times New Roman" w:hAnsi="Times New Roman"/>
          <w:sz w:val="24"/>
          <w:szCs w:val="24"/>
        </w:rPr>
        <w:t xml:space="preserve"> </w:t>
      </w:r>
      <w:r w:rsidRPr="00AD3944">
        <w:rPr>
          <w:rFonts w:ascii="Times New Roman" w:hAnsi="Times New Roman"/>
          <w:b w:val="0"/>
          <w:sz w:val="24"/>
          <w:szCs w:val="24"/>
          <w:lang w:val="x-none" w:eastAsia="x-none"/>
        </w:rPr>
        <w:t>Акционерное общество «В2В-РТС» (далее - АО «В2В-РТС», «Общество»).</w:t>
      </w:r>
    </w:p>
    <w:p w14:paraId="4B6CA365" w14:textId="77777777" w:rsidR="00987D72" w:rsidRPr="00AD3944" w:rsidRDefault="00987D72" w:rsidP="00987D72">
      <w:pPr>
        <w:outlineLvl w:val="2"/>
        <w:rPr>
          <w:b/>
          <w:iCs/>
        </w:rPr>
      </w:pPr>
      <w:r w:rsidRPr="00AD3944">
        <w:rPr>
          <w:b/>
          <w:iCs/>
        </w:rPr>
        <w:t xml:space="preserve">Место нахождения Общества: </w:t>
      </w:r>
      <w:r w:rsidRPr="00AD3944">
        <w:rPr>
          <w:iCs/>
        </w:rPr>
        <w:t>город Москва.</w:t>
      </w:r>
    </w:p>
    <w:p w14:paraId="21C53B07" w14:textId="77777777" w:rsidR="00987D72" w:rsidRPr="00B32C76" w:rsidRDefault="00987D72" w:rsidP="00987D72">
      <w:pPr>
        <w:rPr>
          <w:bCs/>
        </w:rPr>
      </w:pPr>
      <w:r w:rsidRPr="00AD3944">
        <w:rPr>
          <w:b/>
          <w:iCs/>
        </w:rPr>
        <w:t xml:space="preserve">Адрес </w:t>
      </w:r>
      <w:r w:rsidRPr="00B32C76">
        <w:rPr>
          <w:b/>
          <w:iCs/>
        </w:rPr>
        <w:t>Общества:</w:t>
      </w:r>
      <w:r w:rsidRPr="00B32C76">
        <w:rPr>
          <w:bCs/>
        </w:rPr>
        <w:t xml:space="preserve"> </w:t>
      </w:r>
      <w:r w:rsidRPr="00B32C76">
        <w:rPr>
          <w:rFonts w:eastAsia="Calibri"/>
        </w:rPr>
        <w:t xml:space="preserve">121151, г. Москва, </w:t>
      </w:r>
      <w:proofErr w:type="spellStart"/>
      <w:r w:rsidRPr="00B32C76">
        <w:rPr>
          <w:rFonts w:eastAsia="Calibri"/>
        </w:rPr>
        <w:t>вн.тер.г</w:t>
      </w:r>
      <w:proofErr w:type="spellEnd"/>
      <w:r w:rsidRPr="00B32C76">
        <w:rPr>
          <w:rFonts w:eastAsia="Calibri"/>
        </w:rPr>
        <w:t xml:space="preserve">. муниципальный округ Дорогомилово, наб. Тараса Шевченко, д. 23А, </w:t>
      </w:r>
      <w:proofErr w:type="spellStart"/>
      <w:r w:rsidRPr="00B32C76">
        <w:rPr>
          <w:rFonts w:eastAsia="Calibri"/>
        </w:rPr>
        <w:t>помещ</w:t>
      </w:r>
      <w:proofErr w:type="spellEnd"/>
      <w:r w:rsidRPr="00B32C76">
        <w:rPr>
          <w:rFonts w:eastAsia="Calibri"/>
        </w:rPr>
        <w:t>. 1/1/25</w:t>
      </w:r>
      <w:r w:rsidRPr="00B32C76">
        <w:t>.</w:t>
      </w:r>
    </w:p>
    <w:p w14:paraId="26762D26" w14:textId="77777777" w:rsidR="00987D72" w:rsidRPr="00B32C76" w:rsidRDefault="00987D72" w:rsidP="00987D72">
      <w:r w:rsidRPr="00B32C76">
        <w:rPr>
          <w:b/>
          <w:iCs/>
        </w:rPr>
        <w:t>Способ принятия решений:</w:t>
      </w:r>
      <w:r w:rsidRPr="00B32C76">
        <w:t xml:space="preserve"> заседание, </w:t>
      </w:r>
      <w:r w:rsidR="00110478">
        <w:t>голосование на котором совмещается с заочным голосованием</w:t>
      </w:r>
      <w:r w:rsidRPr="00B32C76">
        <w:t xml:space="preserve"> (далее – «заседание»).</w:t>
      </w:r>
    </w:p>
    <w:p w14:paraId="1EAEC7B9" w14:textId="77777777" w:rsidR="00987D72" w:rsidRPr="007B49C4" w:rsidRDefault="00987D72" w:rsidP="00987D72">
      <w:pPr>
        <w:tabs>
          <w:tab w:val="left" w:pos="284"/>
        </w:tabs>
        <w:autoSpaceDE w:val="0"/>
        <w:autoSpaceDN w:val="0"/>
        <w:rPr>
          <w:rFonts w:eastAsia="Calibri"/>
        </w:rPr>
      </w:pPr>
      <w:r w:rsidRPr="007B49C4">
        <w:rPr>
          <w:rFonts w:eastAsia="Calibri"/>
          <w:b/>
        </w:rPr>
        <w:t xml:space="preserve">Категории (типы) акций, владельцы которых имеют право голоса по всем вопросам повестки дня </w:t>
      </w:r>
      <w:r w:rsidRPr="007B49C4">
        <w:rPr>
          <w:b/>
          <w:kern w:val="36"/>
        </w:rPr>
        <w:t>заседания</w:t>
      </w:r>
      <w:r w:rsidRPr="007B49C4">
        <w:rPr>
          <w:rFonts w:eastAsia="Calibri"/>
          <w:b/>
        </w:rPr>
        <w:t xml:space="preserve">: </w:t>
      </w:r>
      <w:r w:rsidRPr="007B49C4">
        <w:rPr>
          <w:rFonts w:eastAsia="Calibri"/>
        </w:rPr>
        <w:t>обыкновенные.</w:t>
      </w:r>
    </w:p>
    <w:p w14:paraId="3230D189" w14:textId="77777777" w:rsidR="00987D72" w:rsidRPr="007B49C4" w:rsidRDefault="00987D72" w:rsidP="00987D72">
      <w:pPr>
        <w:rPr>
          <w:iCs/>
        </w:rPr>
      </w:pPr>
      <w:r w:rsidRPr="007B49C4">
        <w:rPr>
          <w:b/>
          <w:iCs/>
        </w:rPr>
        <w:t xml:space="preserve">Дата проведения заседания: </w:t>
      </w:r>
      <w:r w:rsidR="002148E5" w:rsidRPr="007B49C4">
        <w:t>«18</w:t>
      </w:r>
      <w:r w:rsidRPr="007B49C4">
        <w:t xml:space="preserve">» </w:t>
      </w:r>
      <w:r w:rsidR="002148E5" w:rsidRPr="007B49C4">
        <w:t>марта</w:t>
      </w:r>
      <w:r w:rsidRPr="007B49C4">
        <w:t xml:space="preserve"> 2026 г.</w:t>
      </w:r>
    </w:p>
    <w:p w14:paraId="15E339A2" w14:textId="77777777" w:rsidR="00987D72" w:rsidRPr="007B49C4" w:rsidRDefault="00987D72" w:rsidP="00987D72">
      <w:r w:rsidRPr="007B49C4">
        <w:rPr>
          <w:b/>
          <w:iCs/>
        </w:rPr>
        <w:t>Место проведения заседания:</w:t>
      </w:r>
      <w:r w:rsidRPr="007B49C4">
        <w:t xml:space="preserve"> </w:t>
      </w:r>
      <w:r w:rsidRPr="007B49C4">
        <w:rPr>
          <w:rFonts w:eastAsia="Calibri"/>
        </w:rPr>
        <w:t xml:space="preserve">121151, г. Москва, </w:t>
      </w:r>
      <w:proofErr w:type="spellStart"/>
      <w:r w:rsidRPr="007B49C4">
        <w:rPr>
          <w:rFonts w:eastAsia="Calibri"/>
        </w:rPr>
        <w:t>вн.тер.г</w:t>
      </w:r>
      <w:proofErr w:type="spellEnd"/>
      <w:r w:rsidRPr="007B49C4">
        <w:rPr>
          <w:rFonts w:eastAsia="Calibri"/>
        </w:rPr>
        <w:t xml:space="preserve">. муниципальный округ Дорогомилово, наб. Тараса Шевченко, д. 23А, </w:t>
      </w:r>
      <w:proofErr w:type="spellStart"/>
      <w:r w:rsidRPr="007B49C4">
        <w:rPr>
          <w:rFonts w:eastAsia="Calibri"/>
        </w:rPr>
        <w:t>помещ</w:t>
      </w:r>
      <w:proofErr w:type="spellEnd"/>
      <w:r w:rsidRPr="007B49C4">
        <w:rPr>
          <w:rFonts w:eastAsia="Calibri"/>
        </w:rPr>
        <w:t>. 1/1/25</w:t>
      </w:r>
      <w:r w:rsidRPr="007B49C4">
        <w:t>.</w:t>
      </w:r>
    </w:p>
    <w:p w14:paraId="4926AC8E" w14:textId="77777777" w:rsidR="00987D72" w:rsidRPr="007B49C4" w:rsidRDefault="00987D72" w:rsidP="00987D72">
      <w:pPr>
        <w:rPr>
          <w:iCs/>
        </w:rPr>
      </w:pPr>
      <w:r w:rsidRPr="007B49C4">
        <w:rPr>
          <w:b/>
          <w:iCs/>
        </w:rPr>
        <w:t>Время открытия заседания:</w:t>
      </w:r>
      <w:r w:rsidRPr="007B49C4">
        <w:t xml:space="preserve"> 12 часов 00 минут по московскому времени.</w:t>
      </w:r>
    </w:p>
    <w:p w14:paraId="6BB69FF8" w14:textId="77777777" w:rsidR="00987D72" w:rsidRPr="007B49C4" w:rsidRDefault="00987D72" w:rsidP="00987D72">
      <w:r w:rsidRPr="007B49C4">
        <w:rPr>
          <w:b/>
        </w:rPr>
        <w:t>Время начала регистрации лиц, имеющих право голоса при принятии решений общим собранием акционеров Общества</w:t>
      </w:r>
      <w:r w:rsidRPr="007B49C4">
        <w:rPr>
          <w:b/>
          <w:iCs/>
        </w:rPr>
        <w:t>:</w:t>
      </w:r>
      <w:r w:rsidRPr="007B49C4">
        <w:t xml:space="preserve"> 11 часов </w:t>
      </w:r>
      <w:r w:rsidR="00110478">
        <w:t>30</w:t>
      </w:r>
      <w:r w:rsidRPr="007B49C4">
        <w:t xml:space="preserve"> минут по московскому времени.</w:t>
      </w:r>
    </w:p>
    <w:p w14:paraId="5823EBDF" w14:textId="77777777" w:rsidR="000D3CC6" w:rsidRPr="000D3CC6" w:rsidRDefault="000D3CC6" w:rsidP="00987D72">
      <w:pPr>
        <w:tabs>
          <w:tab w:val="left" w:pos="284"/>
        </w:tabs>
        <w:outlineLvl w:val="0"/>
        <w:rPr>
          <w:bCs/>
          <w:lang w:eastAsia="x-none"/>
        </w:rPr>
      </w:pPr>
      <w:r>
        <w:rPr>
          <w:b/>
          <w:bCs/>
          <w:lang w:eastAsia="x-none"/>
        </w:rPr>
        <w:t>Д</w:t>
      </w:r>
      <w:r w:rsidRPr="000D3CC6">
        <w:rPr>
          <w:b/>
          <w:bCs/>
          <w:lang w:eastAsia="x-none"/>
        </w:rPr>
        <w:t>ата, на которую определяются (фиксируются) лица, имеющие право голоса при принятии решений общим собранием акционеров</w:t>
      </w:r>
      <w:r>
        <w:rPr>
          <w:b/>
          <w:bCs/>
          <w:lang w:eastAsia="x-none"/>
        </w:rPr>
        <w:t xml:space="preserve">: </w:t>
      </w:r>
      <w:r>
        <w:rPr>
          <w:bCs/>
          <w:lang w:eastAsia="x-none"/>
        </w:rPr>
        <w:t>«22</w:t>
      </w:r>
      <w:r w:rsidRPr="000D3CC6">
        <w:rPr>
          <w:bCs/>
          <w:lang w:eastAsia="x-none"/>
        </w:rPr>
        <w:t xml:space="preserve">» </w:t>
      </w:r>
      <w:r>
        <w:rPr>
          <w:bCs/>
          <w:lang w:eastAsia="x-none"/>
        </w:rPr>
        <w:t>февраля</w:t>
      </w:r>
      <w:r w:rsidRPr="000D3CC6">
        <w:rPr>
          <w:bCs/>
          <w:lang w:eastAsia="x-none"/>
        </w:rPr>
        <w:t xml:space="preserve"> 2026 г.</w:t>
      </w:r>
    </w:p>
    <w:p w14:paraId="751CB0BC" w14:textId="77777777" w:rsidR="00987D72" w:rsidRPr="007B49C4" w:rsidRDefault="00987D72" w:rsidP="00987D72">
      <w:pPr>
        <w:tabs>
          <w:tab w:val="left" w:pos="284"/>
        </w:tabs>
        <w:outlineLvl w:val="0"/>
        <w:rPr>
          <w:bCs/>
          <w:lang w:eastAsia="x-none"/>
        </w:rPr>
      </w:pPr>
      <w:r w:rsidRPr="007B49C4">
        <w:rPr>
          <w:b/>
          <w:bCs/>
          <w:lang w:eastAsia="x-none"/>
        </w:rPr>
        <w:t xml:space="preserve">Дата окончания приема бюллетеней для голосования </w:t>
      </w:r>
      <w:r w:rsidR="00110478" w:rsidRPr="00110478">
        <w:rPr>
          <w:b/>
          <w:bCs/>
          <w:lang w:eastAsia="x-none"/>
        </w:rPr>
        <w:t>при проведении заочного голосования</w:t>
      </w:r>
      <w:r w:rsidRPr="007B49C4">
        <w:rPr>
          <w:b/>
          <w:bCs/>
          <w:lang w:eastAsia="x-none"/>
        </w:rPr>
        <w:t>:</w:t>
      </w:r>
      <w:r w:rsidRPr="007B49C4">
        <w:rPr>
          <w:bCs/>
          <w:lang w:eastAsia="x-none"/>
        </w:rPr>
        <w:t xml:space="preserve"> «</w:t>
      </w:r>
      <w:r w:rsidR="002148E5" w:rsidRPr="007B49C4">
        <w:rPr>
          <w:bCs/>
          <w:lang w:eastAsia="x-none"/>
        </w:rPr>
        <w:t>15</w:t>
      </w:r>
      <w:r w:rsidRPr="007B49C4">
        <w:rPr>
          <w:bCs/>
          <w:lang w:eastAsia="x-none"/>
        </w:rPr>
        <w:t xml:space="preserve">» </w:t>
      </w:r>
      <w:r w:rsidR="002148E5" w:rsidRPr="007B49C4">
        <w:rPr>
          <w:bCs/>
          <w:lang w:eastAsia="x-none"/>
        </w:rPr>
        <w:t>марта</w:t>
      </w:r>
      <w:r w:rsidRPr="007B49C4">
        <w:rPr>
          <w:bCs/>
          <w:lang w:eastAsia="x-none"/>
        </w:rPr>
        <w:t xml:space="preserve"> 2026 г. </w:t>
      </w:r>
    </w:p>
    <w:p w14:paraId="68B51D9F" w14:textId="77777777" w:rsidR="00987D72" w:rsidRDefault="00987D72" w:rsidP="00987D72">
      <w:pPr>
        <w:tabs>
          <w:tab w:val="left" w:pos="284"/>
          <w:tab w:val="left" w:pos="708"/>
          <w:tab w:val="center" w:pos="4677"/>
          <w:tab w:val="left" w:pos="8931"/>
          <w:tab w:val="right" w:pos="9355"/>
        </w:tabs>
      </w:pPr>
      <w:r w:rsidRPr="007B49C4">
        <w:rPr>
          <w:b/>
          <w:iCs/>
          <w:color w:val="000000"/>
          <w:lang w:eastAsia="x-none"/>
        </w:rPr>
        <w:t>Почтовый адрес для направления заполненных бюллетеней</w:t>
      </w:r>
      <w:r w:rsidRPr="007B49C4">
        <w:rPr>
          <w:b/>
          <w:iCs/>
          <w:color w:val="000000"/>
          <w:lang w:val="x-none" w:eastAsia="x-none"/>
        </w:rPr>
        <w:t>:</w:t>
      </w:r>
      <w:r w:rsidRPr="007B49C4">
        <w:rPr>
          <w:b/>
          <w:iCs/>
          <w:color w:val="000000"/>
          <w:lang w:eastAsia="x-none"/>
        </w:rPr>
        <w:t xml:space="preserve"> </w:t>
      </w:r>
      <w:r w:rsidRPr="007B49C4">
        <w:t xml:space="preserve">121151, г. Москва, </w:t>
      </w:r>
      <w:proofErr w:type="spellStart"/>
      <w:r w:rsidRPr="007B49C4">
        <w:t>вн.тер.г</w:t>
      </w:r>
      <w:proofErr w:type="spellEnd"/>
      <w:r w:rsidRPr="007B49C4">
        <w:t xml:space="preserve">. муниципальный округ Дорогомилово, наб. Тараса Шевченко, д. 23А, </w:t>
      </w:r>
      <w:proofErr w:type="spellStart"/>
      <w:r w:rsidRPr="007B49C4">
        <w:t>помещ</w:t>
      </w:r>
      <w:proofErr w:type="spellEnd"/>
      <w:r w:rsidRPr="007B49C4">
        <w:t>. 1/1/25.</w:t>
      </w:r>
    </w:p>
    <w:p w14:paraId="073E4A63" w14:textId="77777777" w:rsidR="00987D72" w:rsidRPr="00AD3944" w:rsidRDefault="00987D72" w:rsidP="00987D72">
      <w:pPr>
        <w:spacing w:before="120"/>
        <w:rPr>
          <w:b/>
          <w:kern w:val="36"/>
        </w:rPr>
      </w:pPr>
      <w:r w:rsidRPr="00AD3944">
        <w:rPr>
          <w:bCs/>
          <w:lang w:eastAsia="x-none"/>
        </w:rPr>
        <w:t xml:space="preserve">Не </w:t>
      </w:r>
      <w:r w:rsidRPr="00AD3944">
        <w:t xml:space="preserve">позднее </w:t>
      </w:r>
      <w:r w:rsidRPr="00AD3944">
        <w:rPr>
          <w:b/>
          <w:bCs/>
          <w:lang w:eastAsia="x-none"/>
        </w:rPr>
        <w:t>«</w:t>
      </w:r>
      <w:r w:rsidR="002148E5">
        <w:rPr>
          <w:b/>
          <w:bCs/>
          <w:lang w:eastAsia="x-none"/>
        </w:rPr>
        <w:t xml:space="preserve">15» марта </w:t>
      </w:r>
      <w:r w:rsidRPr="00AD3944">
        <w:rPr>
          <w:b/>
          <w:bCs/>
          <w:lang w:eastAsia="x-none"/>
        </w:rPr>
        <w:t>2026 года (включительно)</w:t>
      </w:r>
      <w:r w:rsidRPr="00AD3944">
        <w:rPr>
          <w:bCs/>
          <w:lang w:eastAsia="x-none"/>
        </w:rPr>
        <w:t xml:space="preserve"> бюллетени для голосования, заполненные в бумажной форме, должны поступить в Общество. </w:t>
      </w:r>
      <w:r w:rsidRPr="00AD3944">
        <w:rPr>
          <w:kern w:val="36"/>
        </w:rPr>
        <w:t xml:space="preserve">Сообщения о волеизъявлении лиц, </w:t>
      </w:r>
      <w:r w:rsidRPr="00AD3944">
        <w:t>которые имеют право голоса при принятии решений общим собранием акционеров Общества</w:t>
      </w:r>
      <w:r w:rsidRPr="00AD3944">
        <w:rPr>
          <w:kern w:val="36"/>
        </w:rPr>
        <w:t xml:space="preserve">, но не зарегистрированы в реестре акционеров Общества, должны поступить регистратору АО «НРК-Р.О.С.Т.» также не позднее </w:t>
      </w:r>
      <w:r w:rsidR="002148E5" w:rsidRPr="00AD3944">
        <w:rPr>
          <w:b/>
          <w:bCs/>
          <w:lang w:eastAsia="x-none"/>
        </w:rPr>
        <w:t>«</w:t>
      </w:r>
      <w:r w:rsidR="002148E5">
        <w:rPr>
          <w:b/>
          <w:bCs/>
          <w:lang w:eastAsia="x-none"/>
        </w:rPr>
        <w:t xml:space="preserve">15» марта </w:t>
      </w:r>
      <w:r w:rsidR="002148E5" w:rsidRPr="00AD3944">
        <w:rPr>
          <w:b/>
          <w:bCs/>
          <w:lang w:eastAsia="x-none"/>
        </w:rPr>
        <w:t xml:space="preserve">2026 года </w:t>
      </w:r>
      <w:r w:rsidRPr="00AD3944">
        <w:rPr>
          <w:b/>
          <w:bCs/>
          <w:lang w:eastAsia="x-none"/>
        </w:rPr>
        <w:t>(включительно)</w:t>
      </w:r>
      <w:r w:rsidRPr="00AD3944">
        <w:rPr>
          <w:b/>
          <w:kern w:val="36"/>
        </w:rPr>
        <w:t>.</w:t>
      </w:r>
    </w:p>
    <w:p w14:paraId="7BB86179" w14:textId="77777777" w:rsidR="00987D72" w:rsidRPr="00AD3944" w:rsidRDefault="00987D72" w:rsidP="00987D72">
      <w:pPr>
        <w:spacing w:before="120"/>
      </w:pPr>
      <w:r w:rsidRPr="00AD3944">
        <w:t xml:space="preserve">Бюллетень для голосования подписывается лицом, имеющим право голоса при принятии решений </w:t>
      </w:r>
      <w:r w:rsidR="00AE3456">
        <w:t>о</w:t>
      </w:r>
      <w:r w:rsidRPr="00AD3944">
        <w:t>бщим собранием акционеров Общества, или его представителем собственноручной подписью.</w:t>
      </w:r>
    </w:p>
    <w:p w14:paraId="6B8050EC" w14:textId="77777777" w:rsidR="00987D72" w:rsidRPr="00AD3944" w:rsidRDefault="00987D72" w:rsidP="00987D72">
      <w:pPr>
        <w:spacing w:before="120"/>
      </w:pPr>
      <w:r w:rsidRPr="00AD3944">
        <w:t>Лица, имеющие право голоса при принятии решений общим собранием акционеров</w:t>
      </w:r>
      <w:r w:rsidR="00052A55">
        <w:t xml:space="preserve"> Общества</w:t>
      </w:r>
      <w:r w:rsidRPr="00AD3944">
        <w:t>, могут реализовать право голоса по вопросам повестки дня путем заочного голосования или голосования на заседании общего собрания акционеров. Лица, проголосовавшие заочно, вправе участвовать в заседании общего собрания акционеров</w:t>
      </w:r>
      <w:r w:rsidR="005416D0">
        <w:t xml:space="preserve"> </w:t>
      </w:r>
      <w:r w:rsidR="008D47B3">
        <w:t>Общества</w:t>
      </w:r>
      <w:r w:rsidRPr="00AD3944">
        <w:t xml:space="preserve"> без возможности голосования на нем.</w:t>
      </w:r>
    </w:p>
    <w:p w14:paraId="34AD5237" w14:textId="77777777" w:rsidR="00987D72" w:rsidRPr="00AD3944" w:rsidRDefault="00987D72" w:rsidP="00987D72">
      <w:pPr>
        <w:spacing w:before="120"/>
      </w:pPr>
      <w:r w:rsidRPr="00AD3944">
        <w:t xml:space="preserve">Бюллетени и сообщения о волеизъявлении, поступившие после указанной даты, не будут учитываться при определении кворума </w:t>
      </w:r>
      <w:r>
        <w:t>заседания о</w:t>
      </w:r>
      <w:r w:rsidRPr="0022637B">
        <w:t>бщего собрания акционеров</w:t>
      </w:r>
      <w:r w:rsidR="005416D0">
        <w:t xml:space="preserve"> Общества</w:t>
      </w:r>
      <w:r w:rsidRPr="0022637B">
        <w:t xml:space="preserve"> </w:t>
      </w:r>
      <w:r>
        <w:t>и подведении итогов голосования</w:t>
      </w:r>
      <w:r w:rsidRPr="00AD3944">
        <w:t>.</w:t>
      </w:r>
    </w:p>
    <w:p w14:paraId="7837D1C8" w14:textId="77777777" w:rsidR="00987D72" w:rsidRPr="0013353A" w:rsidRDefault="00987D72" w:rsidP="00987D72">
      <w:pPr>
        <w:spacing w:before="120"/>
      </w:pPr>
      <w:r w:rsidRPr="00AD3944">
        <w:lastRenderedPageBreak/>
        <w:t xml:space="preserve">При направлении заполненных </w:t>
      </w:r>
      <w:r w:rsidR="005416D0">
        <w:t>бюллетеней</w:t>
      </w:r>
      <w:r w:rsidRPr="00AD3944">
        <w:t xml:space="preserve">, представителям акционеров необходимо приложить документы, подтверждающие их полномочия для осуществления голосования (их копии, </w:t>
      </w:r>
      <w:r w:rsidRPr="0013353A">
        <w:t>засвидетельствованные в установленном порядке).</w:t>
      </w:r>
    </w:p>
    <w:p w14:paraId="1077E2A4" w14:textId="77777777" w:rsidR="0057280C" w:rsidRDefault="0057280C" w:rsidP="00987D72"/>
    <w:p w14:paraId="623E6027" w14:textId="77777777" w:rsidR="0057280C" w:rsidRPr="0013353A" w:rsidRDefault="0057280C" w:rsidP="00987D72"/>
    <w:p w14:paraId="0DFBA950" w14:textId="77777777" w:rsidR="00987D72" w:rsidRPr="0013353A" w:rsidRDefault="00987D72" w:rsidP="00987D72">
      <w:pPr>
        <w:shd w:val="clear" w:color="auto" w:fill="DEEAF6"/>
        <w:jc w:val="center"/>
        <w:rPr>
          <w:b/>
        </w:rPr>
      </w:pPr>
      <w:r w:rsidRPr="0013353A">
        <w:rPr>
          <w:b/>
        </w:rPr>
        <w:t>Повестка дня:</w:t>
      </w:r>
    </w:p>
    <w:p w14:paraId="0A9B202F" w14:textId="77777777" w:rsidR="00193714" w:rsidRPr="00193714" w:rsidRDefault="00193714" w:rsidP="00193714">
      <w:pPr>
        <w:pStyle w:val="a8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bCs/>
        </w:rPr>
      </w:pPr>
      <w:r w:rsidRPr="00193714">
        <w:rPr>
          <w:bCs/>
        </w:rPr>
        <w:t>Об утверждении годового отчета, годовой бухгалтерской (финансовой) отчетности Общества за 2025 год.</w:t>
      </w:r>
    </w:p>
    <w:p w14:paraId="7C2E4E70" w14:textId="77777777" w:rsidR="00193714" w:rsidRPr="00193714" w:rsidRDefault="00193714" w:rsidP="00193714">
      <w:pPr>
        <w:pStyle w:val="a8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bCs/>
        </w:rPr>
      </w:pPr>
      <w:r w:rsidRPr="00193714">
        <w:rPr>
          <w:bCs/>
        </w:rPr>
        <w:t>О распределении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2025 года.</w:t>
      </w:r>
    </w:p>
    <w:p w14:paraId="178414B4" w14:textId="77777777" w:rsidR="00193714" w:rsidRPr="00193714" w:rsidRDefault="00193714" w:rsidP="00193714">
      <w:pPr>
        <w:pStyle w:val="a8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bCs/>
        </w:rPr>
      </w:pPr>
      <w:r w:rsidRPr="00193714">
        <w:rPr>
          <w:bCs/>
        </w:rPr>
        <w:t>Об определении количественного состава Совета директоров.</w:t>
      </w:r>
    </w:p>
    <w:p w14:paraId="411AF42A" w14:textId="77777777" w:rsidR="00193714" w:rsidRPr="00193714" w:rsidRDefault="00193714" w:rsidP="00193714">
      <w:pPr>
        <w:pStyle w:val="a8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bCs/>
        </w:rPr>
      </w:pPr>
      <w:r w:rsidRPr="00193714">
        <w:rPr>
          <w:bCs/>
        </w:rPr>
        <w:t>Об избрании членов Совета директоров Общества.</w:t>
      </w:r>
    </w:p>
    <w:p w14:paraId="4215C0A1" w14:textId="77777777" w:rsidR="00193714" w:rsidRPr="00193714" w:rsidRDefault="00193714" w:rsidP="00193714">
      <w:pPr>
        <w:pStyle w:val="a8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bCs/>
        </w:rPr>
      </w:pPr>
      <w:r w:rsidRPr="00193714">
        <w:rPr>
          <w:bCs/>
        </w:rPr>
        <w:t>О назначении аудиторской организации Общества.</w:t>
      </w:r>
    </w:p>
    <w:p w14:paraId="578BC45E" w14:textId="77777777" w:rsidR="00193714" w:rsidRPr="00193714" w:rsidRDefault="00193714" w:rsidP="00193714">
      <w:pPr>
        <w:pStyle w:val="a8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bCs/>
        </w:rPr>
      </w:pPr>
      <w:r w:rsidRPr="00193714">
        <w:rPr>
          <w:bCs/>
        </w:rPr>
        <w:t>О внесении в устав Общества изменений, содержащих указание на то, что Общество является публичным, и утверждении устава в новой редакции.</w:t>
      </w:r>
    </w:p>
    <w:p w14:paraId="27F928DC" w14:textId="77777777" w:rsidR="00193714" w:rsidRPr="00193714" w:rsidRDefault="00193714" w:rsidP="00193714">
      <w:pPr>
        <w:pStyle w:val="a8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bCs/>
        </w:rPr>
      </w:pPr>
      <w:r w:rsidRPr="00193714">
        <w:rPr>
          <w:bCs/>
        </w:rPr>
        <w:t>Об утверждении Положения о Совете директоров Общества в новой редакции.</w:t>
      </w:r>
    </w:p>
    <w:p w14:paraId="1CA14A2E" w14:textId="77777777" w:rsidR="00193714" w:rsidRPr="00193714" w:rsidRDefault="00193714" w:rsidP="00193714">
      <w:pPr>
        <w:pStyle w:val="a8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bCs/>
        </w:rPr>
      </w:pPr>
      <w:r w:rsidRPr="00193714">
        <w:rPr>
          <w:bCs/>
        </w:rPr>
        <w:t>Об утверждении Положения о вознаграждении и компенсации расходов членов Совета директоров Общества.</w:t>
      </w:r>
    </w:p>
    <w:p w14:paraId="72A77A69" w14:textId="77777777" w:rsidR="00193714" w:rsidRPr="00193714" w:rsidRDefault="00193714" w:rsidP="00193714">
      <w:pPr>
        <w:pStyle w:val="a8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bCs/>
        </w:rPr>
      </w:pPr>
      <w:r w:rsidRPr="00193714">
        <w:rPr>
          <w:bCs/>
        </w:rPr>
        <w:t>О выплате членам Совета директоров Общества вознаграждения.</w:t>
      </w:r>
    </w:p>
    <w:p w14:paraId="1E0FF4B9" w14:textId="77777777" w:rsidR="00987D72" w:rsidRPr="0013353A" w:rsidRDefault="00987D72" w:rsidP="00987D72"/>
    <w:p w14:paraId="652C2A4E" w14:textId="77777777" w:rsidR="00987D72" w:rsidRPr="00C12872" w:rsidRDefault="00987D72" w:rsidP="00987D72">
      <w:pPr>
        <w:rPr>
          <w:szCs w:val="24"/>
        </w:rPr>
      </w:pPr>
      <w:r w:rsidRPr="00C12872">
        <w:rPr>
          <w:b/>
          <w:color w:val="000000"/>
          <w:kern w:val="36"/>
          <w:szCs w:val="24"/>
        </w:rPr>
        <w:t xml:space="preserve">Информация (материалы), подлежащая предоставлению акционерам до проведения </w:t>
      </w:r>
      <w:r w:rsidR="0051021C" w:rsidRPr="00C12872">
        <w:rPr>
          <w:b/>
          <w:color w:val="000000"/>
          <w:kern w:val="36"/>
          <w:szCs w:val="24"/>
        </w:rPr>
        <w:t>годового</w:t>
      </w:r>
      <w:r w:rsidR="00EB614A" w:rsidRPr="00C12872">
        <w:rPr>
          <w:b/>
          <w:color w:val="000000"/>
          <w:kern w:val="36"/>
          <w:szCs w:val="24"/>
        </w:rPr>
        <w:t xml:space="preserve"> заседания о</w:t>
      </w:r>
      <w:r w:rsidRPr="00C12872">
        <w:rPr>
          <w:b/>
          <w:color w:val="000000"/>
          <w:kern w:val="36"/>
          <w:szCs w:val="24"/>
        </w:rPr>
        <w:t xml:space="preserve">бщего собрания акционеров Общества: </w:t>
      </w:r>
    </w:p>
    <w:p w14:paraId="6A5FEF04" w14:textId="77777777" w:rsidR="00C12872" w:rsidRPr="00C12872" w:rsidRDefault="00C12872" w:rsidP="00C1287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C12872">
        <w:t>Годовой отчет Общества за 2025 год.</w:t>
      </w:r>
    </w:p>
    <w:p w14:paraId="7D614FE1" w14:textId="77777777" w:rsidR="00C12872" w:rsidRPr="00C12872" w:rsidRDefault="00C12872" w:rsidP="00C1287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C12872">
        <w:t>Годовая бухгалтерская отчетность Общества на 31.12.2025 года и аудиторское заключение о ней.</w:t>
      </w:r>
    </w:p>
    <w:p w14:paraId="19426C5E" w14:textId="77777777" w:rsidR="00C12872" w:rsidRDefault="00C12872" w:rsidP="00C1287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C12872">
        <w:t>Рекомендации Совета директоров Общества относительно размера дивиденда по акциям Общества и порядка его выплаты</w:t>
      </w:r>
      <w:r w:rsidR="001F0E03">
        <w:t>, по кандидатуре аудиторской организации Общества</w:t>
      </w:r>
      <w:r w:rsidR="001F0E03" w:rsidRPr="00C12872">
        <w:t>.</w:t>
      </w:r>
    </w:p>
    <w:p w14:paraId="24440EEB" w14:textId="77777777" w:rsidR="00C12872" w:rsidRPr="00C12872" w:rsidRDefault="00C12872" w:rsidP="00C1287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C12872">
        <w:t>Информацию о кандидатах в Совет директоров Общества и о наличии их согласия на выдвижение.</w:t>
      </w:r>
    </w:p>
    <w:p w14:paraId="61FD0CC2" w14:textId="77777777" w:rsidR="00C12872" w:rsidRPr="00C12872" w:rsidRDefault="00C12872" w:rsidP="00C1287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C12872">
        <w:t>Заключение Совета директоров Общества о крупных сделках, совершенных Обществом в 2025 году.</w:t>
      </w:r>
    </w:p>
    <w:p w14:paraId="43DF61F1" w14:textId="77777777" w:rsidR="00C12872" w:rsidRPr="00C12872" w:rsidRDefault="00C12872" w:rsidP="00C1287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C12872">
        <w:t>Проект Устава Общества в новой редакции.</w:t>
      </w:r>
    </w:p>
    <w:p w14:paraId="6BBD30DE" w14:textId="77777777" w:rsidR="00C12872" w:rsidRPr="00C12872" w:rsidRDefault="00C12872" w:rsidP="00C1287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C12872">
        <w:t>Проект Положения о Совете директоров Общества в новой редакции.</w:t>
      </w:r>
    </w:p>
    <w:p w14:paraId="54089814" w14:textId="77777777" w:rsidR="00C12872" w:rsidRPr="00C12872" w:rsidRDefault="00C12872" w:rsidP="00C1287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C12872">
        <w:t>Проект Положения о вознаграждении и компенсации расходов членов Совета директоров Общества.</w:t>
      </w:r>
    </w:p>
    <w:p w14:paraId="68BF129A" w14:textId="77777777" w:rsidR="00987D72" w:rsidRDefault="00C12872" w:rsidP="00C1287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C12872">
        <w:t>Проекты решений по вопросам повестки дня годового заседания общего собрания акционеров Общества.</w:t>
      </w:r>
    </w:p>
    <w:p w14:paraId="053987E6" w14:textId="77777777" w:rsidR="00987D72" w:rsidRPr="00C12872" w:rsidRDefault="00987D72" w:rsidP="00C12872">
      <w:pPr>
        <w:spacing w:before="120"/>
        <w:rPr>
          <w:b/>
          <w:szCs w:val="24"/>
        </w:rPr>
      </w:pPr>
      <w:r w:rsidRPr="00C12872">
        <w:rPr>
          <w:b/>
          <w:color w:val="000000"/>
          <w:kern w:val="36"/>
          <w:szCs w:val="24"/>
        </w:rPr>
        <w:t>Порядок ознакомления с информацией</w:t>
      </w:r>
      <w:r w:rsidRPr="00C12872">
        <w:rPr>
          <w:b/>
          <w:szCs w:val="24"/>
        </w:rPr>
        <w:t xml:space="preserve"> (материалами), подлежащей предоставлению при подготовке к проведению </w:t>
      </w:r>
      <w:r w:rsidR="002B25B6" w:rsidRPr="00C12872">
        <w:rPr>
          <w:b/>
          <w:szCs w:val="24"/>
        </w:rPr>
        <w:t>годового</w:t>
      </w:r>
      <w:r w:rsidRPr="00C12872">
        <w:rPr>
          <w:b/>
          <w:szCs w:val="24"/>
        </w:rPr>
        <w:t xml:space="preserve"> заседания </w:t>
      </w:r>
      <w:r w:rsidR="00C12872">
        <w:rPr>
          <w:b/>
          <w:color w:val="000000"/>
          <w:kern w:val="36"/>
          <w:szCs w:val="24"/>
        </w:rPr>
        <w:t>о</w:t>
      </w:r>
      <w:r w:rsidRPr="00C12872">
        <w:rPr>
          <w:b/>
          <w:color w:val="000000"/>
          <w:kern w:val="36"/>
          <w:szCs w:val="24"/>
        </w:rPr>
        <w:t>бщего собрания акционеров Общества</w:t>
      </w:r>
      <w:r w:rsidRPr="00C12872">
        <w:rPr>
          <w:b/>
          <w:szCs w:val="24"/>
        </w:rPr>
        <w:t xml:space="preserve"> и адрес, по которому с ней можно ознакомиться:</w:t>
      </w:r>
    </w:p>
    <w:p w14:paraId="0B1F2FE4" w14:textId="77777777" w:rsidR="00EA71C5" w:rsidRDefault="00EA71C5" w:rsidP="00EA71C5">
      <w:pPr>
        <w:spacing w:before="120"/>
        <w:outlineLvl w:val="0"/>
        <w:rPr>
          <w:color w:val="000000"/>
          <w:kern w:val="36"/>
        </w:rPr>
      </w:pPr>
      <w:r w:rsidRPr="00C12872">
        <w:rPr>
          <w:color w:val="000000"/>
          <w:kern w:val="36"/>
          <w:szCs w:val="24"/>
        </w:rPr>
        <w:t xml:space="preserve">С информацией, подлежащей </w:t>
      </w:r>
      <w:r w:rsidRPr="00C12872">
        <w:rPr>
          <w:kern w:val="36"/>
          <w:szCs w:val="24"/>
        </w:rPr>
        <w:t xml:space="preserve">предоставлению </w:t>
      </w:r>
      <w:r w:rsidRPr="000D3CC6">
        <w:rPr>
          <w:kern w:val="36"/>
          <w:szCs w:val="24"/>
        </w:rPr>
        <w:t xml:space="preserve">при подготовке к проведению </w:t>
      </w:r>
      <w:r>
        <w:rPr>
          <w:kern w:val="36"/>
          <w:szCs w:val="24"/>
        </w:rPr>
        <w:t xml:space="preserve">годового </w:t>
      </w:r>
      <w:r w:rsidRPr="000D3CC6">
        <w:rPr>
          <w:kern w:val="36"/>
          <w:szCs w:val="24"/>
        </w:rPr>
        <w:t>заседания для принятия решений общим собранием акционеров</w:t>
      </w:r>
      <w:r>
        <w:rPr>
          <w:kern w:val="36"/>
          <w:szCs w:val="24"/>
        </w:rPr>
        <w:t xml:space="preserve"> Общества</w:t>
      </w:r>
      <w:r w:rsidRPr="00AD3944">
        <w:rPr>
          <w:kern w:val="36"/>
        </w:rPr>
        <w:t xml:space="preserve">, можно ознакомиться по адресу: </w:t>
      </w:r>
      <w:r w:rsidRPr="00AD3944">
        <w:t xml:space="preserve">121151, г. Москва, </w:t>
      </w:r>
      <w:proofErr w:type="spellStart"/>
      <w:r w:rsidRPr="00AD3944">
        <w:t>вн.тер.г</w:t>
      </w:r>
      <w:proofErr w:type="spellEnd"/>
      <w:r w:rsidRPr="00AD3944">
        <w:t xml:space="preserve">. муниципальный округ Дорогомилово, наб. Тараса Шевченко, д. 23А, </w:t>
      </w:r>
      <w:proofErr w:type="spellStart"/>
      <w:r w:rsidRPr="00AD3944">
        <w:t>помещ</w:t>
      </w:r>
      <w:proofErr w:type="spellEnd"/>
      <w:r w:rsidRPr="00AD3944">
        <w:t xml:space="preserve">. 1/1/25, кабинет </w:t>
      </w:r>
      <w:r w:rsidRPr="00AD3944">
        <w:rPr>
          <w:color w:val="000000"/>
          <w:kern w:val="36"/>
        </w:rPr>
        <w:t xml:space="preserve">Генерального </w:t>
      </w:r>
      <w:r w:rsidRPr="00AD3944">
        <w:rPr>
          <w:kern w:val="36"/>
        </w:rPr>
        <w:t>директора АО «В2В-РТС»,</w:t>
      </w:r>
      <w:r w:rsidRPr="00AD3944">
        <w:rPr>
          <w:color w:val="000000"/>
          <w:kern w:val="36"/>
        </w:rPr>
        <w:t xml:space="preserve"> с </w:t>
      </w:r>
      <w:r>
        <w:rPr>
          <w:b/>
        </w:rPr>
        <w:t>«26» февраля</w:t>
      </w:r>
      <w:r w:rsidRPr="00AD3944">
        <w:rPr>
          <w:b/>
        </w:rPr>
        <w:t xml:space="preserve"> 2026 года</w:t>
      </w:r>
      <w:r w:rsidRPr="00AD3944">
        <w:t xml:space="preserve"> по </w:t>
      </w:r>
      <w:r>
        <w:rPr>
          <w:b/>
        </w:rPr>
        <w:t>«17</w:t>
      </w:r>
      <w:r w:rsidRPr="00AD3944">
        <w:rPr>
          <w:b/>
        </w:rPr>
        <w:t xml:space="preserve">» </w:t>
      </w:r>
      <w:r>
        <w:rPr>
          <w:b/>
        </w:rPr>
        <w:t>марта</w:t>
      </w:r>
      <w:r w:rsidRPr="00AD3944">
        <w:rPr>
          <w:b/>
        </w:rPr>
        <w:t xml:space="preserve"> 2026 года</w:t>
      </w:r>
      <w:r w:rsidRPr="00AD3944">
        <w:t xml:space="preserve"> </w:t>
      </w:r>
      <w:r w:rsidRPr="00AD3944">
        <w:rPr>
          <w:b/>
          <w:color w:val="000000"/>
          <w:kern w:val="36"/>
        </w:rPr>
        <w:t>включительно</w:t>
      </w:r>
      <w:r w:rsidRPr="00AD3944">
        <w:rPr>
          <w:color w:val="000000"/>
          <w:kern w:val="36"/>
        </w:rPr>
        <w:t>, по рабочим дням, с 09 часов 00 минут до 18 часов 00 минут по московскому времени.</w:t>
      </w:r>
      <w:r w:rsidRPr="00AD3944">
        <w:t xml:space="preserve"> </w:t>
      </w:r>
      <w:r w:rsidRPr="00AD3944">
        <w:rPr>
          <w:color w:val="000000"/>
          <w:kern w:val="36"/>
        </w:rPr>
        <w:t>Указанная информация (материалы) будет доступна лицам, участвующим в заседании общего собрания акционеров</w:t>
      </w:r>
      <w:r>
        <w:rPr>
          <w:color w:val="000000"/>
          <w:kern w:val="36"/>
        </w:rPr>
        <w:t xml:space="preserve"> Общества</w:t>
      </w:r>
      <w:r w:rsidRPr="00AD3944">
        <w:rPr>
          <w:color w:val="000000"/>
          <w:kern w:val="36"/>
        </w:rPr>
        <w:t>, во время его проведения.</w:t>
      </w:r>
    </w:p>
    <w:p w14:paraId="467CED2F" w14:textId="77777777" w:rsidR="00EA71C5" w:rsidRPr="00AD3944" w:rsidRDefault="00EA71C5" w:rsidP="00EA71C5">
      <w:pPr>
        <w:spacing w:before="120"/>
        <w:outlineLvl w:val="0"/>
      </w:pPr>
    </w:p>
    <w:p w14:paraId="41A3F61F" w14:textId="77777777" w:rsidR="00987D72" w:rsidRPr="00AD3944" w:rsidRDefault="00987D72" w:rsidP="00987D72">
      <w:pPr>
        <w:spacing w:before="120" w:after="120"/>
        <w:jc w:val="center"/>
        <w:outlineLvl w:val="0"/>
        <w:rPr>
          <w:b/>
        </w:rPr>
      </w:pPr>
      <w:r w:rsidRPr="00AD3944">
        <w:rPr>
          <w:b/>
        </w:rPr>
        <w:t>ПОРЯДОК ОБНОВЛЕНИЯ АКЦИОНЕРАМИ ПЕРСОНАЛЬНЫХ ДАННЫХ</w:t>
      </w:r>
    </w:p>
    <w:p w14:paraId="4A25D921" w14:textId="77777777" w:rsidR="00987D72" w:rsidRPr="00AD3944" w:rsidRDefault="00987D72" w:rsidP="00987D72">
      <w:pPr>
        <w:outlineLvl w:val="0"/>
      </w:pPr>
      <w:r w:rsidRPr="00AD3944">
        <w:lastRenderedPageBreak/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2907A6F9" w14:textId="77777777" w:rsidR="00987D72" w:rsidRPr="00AD3944" w:rsidRDefault="00987D72" w:rsidP="00987D72">
      <w:pPr>
        <w:spacing w:before="120"/>
        <w:outlineLvl w:val="0"/>
      </w:pPr>
      <w:r w:rsidRPr="00AD3944">
        <w:t xml:space="preserve">Обращаем Ваше внимание на то, что для </w:t>
      </w:r>
      <w:r w:rsidR="00BC2023">
        <w:t xml:space="preserve">регистрации лиц, участвующих в годовом </w:t>
      </w:r>
      <w:r w:rsidRPr="00AD3944">
        <w:t xml:space="preserve">заседании </w:t>
      </w:r>
      <w:r w:rsidRPr="00AD3944">
        <w:rPr>
          <w:kern w:val="36"/>
        </w:rPr>
        <w:t>общего собрания акционеров Общества</w:t>
      </w:r>
      <w:r w:rsidRPr="00AD3944">
        <w:t>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259D6C16" w14:textId="77777777" w:rsidR="00987D72" w:rsidRPr="00AD3944" w:rsidRDefault="00987D72" w:rsidP="00987D72">
      <w:pPr>
        <w:spacing w:before="120"/>
        <w:outlineLvl w:val="0"/>
        <w:rPr>
          <w:color w:val="000000"/>
          <w:kern w:val="36"/>
        </w:rPr>
      </w:pPr>
      <w:r w:rsidRPr="00AD3944">
        <w:t xml:space="preserve">По всем вопросам, связанным с проведением </w:t>
      </w:r>
      <w:r w:rsidR="00BC2023">
        <w:t>годового</w:t>
      </w:r>
      <w:r w:rsidRPr="00AD3944">
        <w:t xml:space="preserve"> заседания общего собрания акционеров Общества, Вы можете обращаться к Генеральному директору </w:t>
      </w:r>
      <w:r w:rsidRPr="00AD3944">
        <w:rPr>
          <w:kern w:val="36"/>
        </w:rPr>
        <w:t>АО «В2В-РТС» Толчеев</w:t>
      </w:r>
      <w:r w:rsidRPr="00AD3944">
        <w:t xml:space="preserve"> К.В.</w:t>
      </w:r>
    </w:p>
    <w:p w14:paraId="2348425D" w14:textId="77777777" w:rsidR="00987D72" w:rsidRPr="00AD3944" w:rsidRDefault="00987D72" w:rsidP="00987D72">
      <w:pPr>
        <w:shd w:val="clear" w:color="auto" w:fill="FFFFFF"/>
        <w:tabs>
          <w:tab w:val="left" w:pos="413"/>
          <w:tab w:val="left" w:pos="7380"/>
        </w:tabs>
        <w:rPr>
          <w:rFonts w:eastAsia="Calibri"/>
          <w:b/>
        </w:rPr>
      </w:pPr>
    </w:p>
    <w:p w14:paraId="2626B05F" w14:textId="77777777" w:rsidR="00987D72" w:rsidRPr="00AD3944" w:rsidRDefault="00987D72" w:rsidP="00987D72">
      <w:pPr>
        <w:shd w:val="clear" w:color="auto" w:fill="FFFFFF"/>
        <w:tabs>
          <w:tab w:val="left" w:pos="413"/>
          <w:tab w:val="left" w:pos="7380"/>
        </w:tabs>
        <w:rPr>
          <w:rFonts w:eastAsia="Calibri"/>
          <w:b/>
        </w:rPr>
      </w:pPr>
    </w:p>
    <w:p w14:paraId="3548E409" w14:textId="77777777" w:rsidR="006732B7" w:rsidRDefault="006732B7"/>
    <w:sectPr w:rsidR="006732B7" w:rsidSect="0057280C">
      <w:headerReference w:type="first" r:id="rId7"/>
      <w:footerReference w:type="first" r:id="rId8"/>
      <w:pgSz w:w="11906" w:h="16838"/>
      <w:pgMar w:top="1134" w:right="850" w:bottom="1134" w:left="1134" w:header="568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FB04A" w14:textId="77777777" w:rsidR="009E3BDA" w:rsidRDefault="009E3BDA" w:rsidP="0085572A">
      <w:r>
        <w:separator/>
      </w:r>
    </w:p>
  </w:endnote>
  <w:endnote w:type="continuationSeparator" w:id="0">
    <w:p w14:paraId="0C2656A7" w14:textId="77777777" w:rsidR="009E3BDA" w:rsidRDefault="009E3BDA" w:rsidP="0085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3ED3" w14:textId="77777777" w:rsidR="0057280C" w:rsidRDefault="0057280C">
    <w:pPr>
      <w:pStyle w:val="a5"/>
      <w:jc w:val="right"/>
    </w:pPr>
  </w:p>
  <w:p w14:paraId="6B65F7D2" w14:textId="77777777" w:rsidR="0057280C" w:rsidRDefault="005728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10CF" w14:textId="77777777" w:rsidR="009E3BDA" w:rsidRDefault="009E3BDA" w:rsidP="0085572A">
      <w:r>
        <w:separator/>
      </w:r>
    </w:p>
  </w:footnote>
  <w:footnote w:type="continuationSeparator" w:id="0">
    <w:p w14:paraId="42B0D2A9" w14:textId="77777777" w:rsidR="009E3BDA" w:rsidRDefault="009E3BDA" w:rsidP="0085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E468" w14:textId="77777777" w:rsidR="0085572A" w:rsidRDefault="0085572A" w:rsidP="0085572A">
    <w:pPr>
      <w:pStyle w:val="a3"/>
      <w:tabs>
        <w:tab w:val="clear" w:pos="4677"/>
        <w:tab w:val="clear" w:pos="9355"/>
        <w:tab w:val="right" w:pos="9922"/>
      </w:tabs>
      <w:rPr>
        <w:rFonts w:ascii="Tahoma" w:hAnsi="Tahoma" w:cs="Tahoma"/>
        <w:spacing w:val="-2"/>
        <w:sz w:val="18"/>
        <w:szCs w:val="18"/>
      </w:rPr>
    </w:pPr>
  </w:p>
  <w:tbl>
    <w:tblPr>
      <w:tblStyle w:val="a7"/>
      <w:tblW w:w="10065" w:type="dxa"/>
      <w:tblInd w:w="-142" w:type="dxa"/>
      <w:tblLook w:val="04A0" w:firstRow="1" w:lastRow="0" w:firstColumn="1" w:lastColumn="0" w:noHBand="0" w:noVBand="1"/>
    </w:tblPr>
    <w:tblGrid>
      <w:gridCol w:w="4956"/>
      <w:gridCol w:w="5109"/>
    </w:tblGrid>
    <w:tr w:rsidR="0085572A" w14:paraId="0EF8D547" w14:textId="77777777" w:rsidTr="006732B7">
      <w:tc>
        <w:tcPr>
          <w:tcW w:w="4956" w:type="dxa"/>
          <w:tcBorders>
            <w:top w:val="nil"/>
            <w:left w:val="nil"/>
            <w:bottom w:val="nil"/>
            <w:right w:val="nil"/>
          </w:tcBorders>
        </w:tcPr>
        <w:p w14:paraId="4A9D1996" w14:textId="77777777" w:rsidR="0085572A" w:rsidRDefault="0085572A" w:rsidP="0085572A">
          <w:pPr>
            <w:pStyle w:val="a3"/>
            <w:tabs>
              <w:tab w:val="clear" w:pos="4677"/>
              <w:tab w:val="clear" w:pos="9355"/>
              <w:tab w:val="right" w:pos="9922"/>
            </w:tabs>
            <w:rPr>
              <w:rFonts w:ascii="Tahoma" w:hAnsi="Tahoma" w:cs="Tahoma"/>
              <w:spacing w:val="-2"/>
              <w:sz w:val="18"/>
              <w:szCs w:val="18"/>
            </w:rPr>
          </w:pPr>
          <w:r w:rsidRPr="00552374">
            <w:rPr>
              <w:noProof/>
              <w:lang w:eastAsia="ru-RU"/>
            </w:rPr>
            <w:drawing>
              <wp:inline distT="0" distB="0" distL="0" distR="0" wp14:anchorId="2252A1E3" wp14:editId="57194F9D">
                <wp:extent cx="1209040" cy="186055"/>
                <wp:effectExtent l="0" t="0" r="0" b="4445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04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EB64FE" w14:textId="77777777" w:rsidR="0085572A" w:rsidRDefault="0085572A" w:rsidP="0085572A">
          <w:pPr>
            <w:pStyle w:val="a3"/>
            <w:tabs>
              <w:tab w:val="clear" w:pos="4677"/>
              <w:tab w:val="clear" w:pos="9355"/>
              <w:tab w:val="right" w:pos="9922"/>
            </w:tabs>
            <w:spacing w:before="120"/>
            <w:rPr>
              <w:rFonts w:ascii="Arial" w:hAnsi="Arial" w:cs="Arial"/>
            </w:rPr>
          </w:pPr>
          <w:r w:rsidRPr="00E72952">
            <w:rPr>
              <w:rFonts w:ascii="Arial" w:hAnsi="Arial" w:cs="Arial"/>
            </w:rPr>
            <w:t xml:space="preserve">Акционерное общество </w:t>
          </w:r>
          <w:r>
            <w:rPr>
              <w:rFonts w:ascii="Arial" w:hAnsi="Arial" w:cs="Arial"/>
            </w:rPr>
            <w:t>«</w:t>
          </w:r>
          <w:r w:rsidRPr="00E72952">
            <w:rPr>
              <w:rFonts w:ascii="Arial" w:hAnsi="Arial" w:cs="Arial"/>
            </w:rPr>
            <w:t>B2B-РТС</w:t>
          </w:r>
          <w:r>
            <w:rPr>
              <w:rFonts w:ascii="Arial" w:hAnsi="Arial" w:cs="Arial"/>
            </w:rPr>
            <w:t>»</w:t>
          </w:r>
        </w:p>
        <w:p w14:paraId="6C8E0683" w14:textId="77777777" w:rsidR="0085572A" w:rsidRDefault="0085572A" w:rsidP="0085572A">
          <w:pPr>
            <w:pStyle w:val="a3"/>
            <w:tabs>
              <w:tab w:val="clear" w:pos="4677"/>
              <w:tab w:val="clear" w:pos="9355"/>
              <w:tab w:val="right" w:pos="9922"/>
            </w:tabs>
            <w:rPr>
              <w:rFonts w:ascii="Tahoma" w:hAnsi="Tahoma" w:cs="Tahoma"/>
              <w:spacing w:val="-2"/>
              <w:sz w:val="18"/>
              <w:szCs w:val="18"/>
            </w:rPr>
          </w:pPr>
          <w:r w:rsidRPr="00E72952">
            <w:rPr>
              <w:rFonts w:ascii="Arial" w:hAnsi="Arial" w:cs="Arial"/>
            </w:rPr>
            <w:t>(АО «B2B-PTC»)</w:t>
          </w:r>
        </w:p>
      </w:tc>
      <w:tc>
        <w:tcPr>
          <w:tcW w:w="5109" w:type="dxa"/>
          <w:tcBorders>
            <w:top w:val="nil"/>
            <w:left w:val="nil"/>
            <w:bottom w:val="nil"/>
            <w:right w:val="nil"/>
          </w:tcBorders>
        </w:tcPr>
        <w:p w14:paraId="1F9CD02B" w14:textId="77777777" w:rsidR="0085572A" w:rsidRPr="0085572A" w:rsidRDefault="0085572A" w:rsidP="0085572A">
          <w:pPr>
            <w:pStyle w:val="a3"/>
            <w:tabs>
              <w:tab w:val="clear" w:pos="4677"/>
              <w:tab w:val="clear" w:pos="9355"/>
              <w:tab w:val="right" w:pos="9922"/>
            </w:tabs>
            <w:jc w:val="right"/>
            <w:rPr>
              <w:rFonts w:ascii="Arial" w:hAnsi="Arial" w:cs="Arial"/>
              <w:spacing w:val="-2"/>
              <w:sz w:val="18"/>
              <w:szCs w:val="18"/>
            </w:rPr>
          </w:pPr>
          <w:r w:rsidRPr="0085572A">
            <w:rPr>
              <w:rFonts w:ascii="Arial" w:hAnsi="Arial" w:cs="Arial"/>
              <w:spacing w:val="-2"/>
              <w:sz w:val="18"/>
              <w:szCs w:val="18"/>
            </w:rPr>
            <w:t>ИНН 9718151838, ОГРН 1207700017381</w:t>
          </w:r>
        </w:p>
        <w:p w14:paraId="5DEACFC5" w14:textId="77777777" w:rsidR="0085572A" w:rsidRPr="0085572A" w:rsidRDefault="0085572A" w:rsidP="0085572A">
          <w:pPr>
            <w:pStyle w:val="a3"/>
            <w:tabs>
              <w:tab w:val="clear" w:pos="4677"/>
              <w:tab w:val="center" w:pos="4663"/>
            </w:tabs>
            <w:jc w:val="right"/>
            <w:rPr>
              <w:rFonts w:ascii="Arial" w:hAnsi="Arial" w:cs="Arial"/>
              <w:spacing w:val="-2"/>
              <w:sz w:val="18"/>
              <w:szCs w:val="18"/>
            </w:rPr>
          </w:pPr>
          <w:r w:rsidRPr="0085572A">
            <w:rPr>
              <w:rFonts w:ascii="Arial" w:hAnsi="Arial" w:cs="Arial"/>
              <w:spacing w:val="-2"/>
              <w:sz w:val="18"/>
              <w:szCs w:val="18"/>
            </w:rPr>
            <w:t xml:space="preserve">121151, г. Москва, </w:t>
          </w:r>
          <w:proofErr w:type="spellStart"/>
          <w:r w:rsidRPr="0085572A">
            <w:rPr>
              <w:rFonts w:ascii="Arial" w:hAnsi="Arial" w:cs="Arial"/>
              <w:spacing w:val="-2"/>
              <w:sz w:val="18"/>
              <w:szCs w:val="18"/>
            </w:rPr>
            <w:t>вн.тер.г</w:t>
          </w:r>
          <w:proofErr w:type="spellEnd"/>
          <w:r w:rsidRPr="0085572A">
            <w:rPr>
              <w:rFonts w:ascii="Arial" w:hAnsi="Arial" w:cs="Arial"/>
              <w:spacing w:val="-2"/>
              <w:sz w:val="18"/>
              <w:szCs w:val="18"/>
            </w:rPr>
            <w:t xml:space="preserve">. Муниципальный округ </w:t>
          </w:r>
        </w:p>
        <w:p w14:paraId="1431A3B8" w14:textId="77777777" w:rsidR="0085572A" w:rsidRPr="0085572A" w:rsidRDefault="0085572A" w:rsidP="0085572A">
          <w:pPr>
            <w:pStyle w:val="a3"/>
            <w:tabs>
              <w:tab w:val="clear" w:pos="4677"/>
              <w:tab w:val="center" w:pos="4663"/>
            </w:tabs>
            <w:jc w:val="right"/>
            <w:rPr>
              <w:rFonts w:ascii="Arial" w:hAnsi="Arial" w:cs="Arial"/>
              <w:spacing w:val="-2"/>
              <w:sz w:val="18"/>
              <w:szCs w:val="18"/>
            </w:rPr>
          </w:pPr>
          <w:r w:rsidRPr="0085572A">
            <w:rPr>
              <w:rFonts w:ascii="Arial" w:hAnsi="Arial" w:cs="Arial"/>
              <w:spacing w:val="-2"/>
              <w:sz w:val="18"/>
              <w:szCs w:val="18"/>
            </w:rPr>
            <w:t xml:space="preserve">Дорогомилово, наб. Тараса Шевченко, </w:t>
          </w:r>
        </w:p>
        <w:p w14:paraId="4F627394" w14:textId="77777777" w:rsidR="0085572A" w:rsidRDefault="0085572A" w:rsidP="0085572A">
          <w:pPr>
            <w:pStyle w:val="a3"/>
            <w:tabs>
              <w:tab w:val="clear" w:pos="4677"/>
              <w:tab w:val="clear" w:pos="9355"/>
              <w:tab w:val="right" w:pos="9922"/>
            </w:tabs>
            <w:jc w:val="right"/>
            <w:rPr>
              <w:rFonts w:ascii="Tahoma" w:hAnsi="Tahoma" w:cs="Tahoma"/>
              <w:spacing w:val="-2"/>
              <w:sz w:val="18"/>
              <w:szCs w:val="18"/>
            </w:rPr>
          </w:pPr>
          <w:r w:rsidRPr="0085572A">
            <w:rPr>
              <w:rFonts w:ascii="Arial" w:hAnsi="Arial" w:cs="Arial"/>
              <w:spacing w:val="-2"/>
              <w:sz w:val="18"/>
              <w:szCs w:val="18"/>
            </w:rPr>
            <w:t xml:space="preserve">д. 23а, </w:t>
          </w:r>
          <w:proofErr w:type="spellStart"/>
          <w:r w:rsidRPr="0085572A">
            <w:rPr>
              <w:rFonts w:ascii="Arial" w:hAnsi="Arial" w:cs="Arial"/>
              <w:spacing w:val="-2"/>
              <w:sz w:val="18"/>
              <w:szCs w:val="18"/>
            </w:rPr>
            <w:t>помещ</w:t>
          </w:r>
          <w:proofErr w:type="spellEnd"/>
          <w:r w:rsidRPr="0085572A">
            <w:rPr>
              <w:rFonts w:ascii="Arial" w:hAnsi="Arial" w:cs="Arial"/>
              <w:spacing w:val="-2"/>
              <w:sz w:val="18"/>
              <w:szCs w:val="18"/>
            </w:rPr>
            <w:t>. 1/1/25.</w:t>
          </w:r>
        </w:p>
      </w:tc>
    </w:tr>
  </w:tbl>
  <w:p w14:paraId="7B1AB678" w14:textId="77777777" w:rsidR="0085572A" w:rsidRDefault="0085572A" w:rsidP="008557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6C3F"/>
    <w:multiLevelType w:val="hybridMultilevel"/>
    <w:tmpl w:val="08FAA622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3190276D"/>
    <w:multiLevelType w:val="hybridMultilevel"/>
    <w:tmpl w:val="71E4AB18"/>
    <w:lvl w:ilvl="0" w:tplc="4C2A59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70A84"/>
    <w:multiLevelType w:val="hybridMultilevel"/>
    <w:tmpl w:val="2F7C21AA"/>
    <w:lvl w:ilvl="0" w:tplc="CD3855D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9095E9E"/>
    <w:multiLevelType w:val="hybridMultilevel"/>
    <w:tmpl w:val="6178A098"/>
    <w:lvl w:ilvl="0" w:tplc="04190011">
      <w:start w:val="1"/>
      <w:numFmt w:val="decimal"/>
      <w:lvlText w:val="%1)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5A78760D"/>
    <w:multiLevelType w:val="hybridMultilevel"/>
    <w:tmpl w:val="599E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56F47"/>
    <w:multiLevelType w:val="hybridMultilevel"/>
    <w:tmpl w:val="7B62E20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2E"/>
    <w:rsid w:val="00013E20"/>
    <w:rsid w:val="00034DFB"/>
    <w:rsid w:val="00052A55"/>
    <w:rsid w:val="000D3CC6"/>
    <w:rsid w:val="00110478"/>
    <w:rsid w:val="00193714"/>
    <w:rsid w:val="001F0E03"/>
    <w:rsid w:val="002148E5"/>
    <w:rsid w:val="00281A70"/>
    <w:rsid w:val="002B25B6"/>
    <w:rsid w:val="003B6BC3"/>
    <w:rsid w:val="00452749"/>
    <w:rsid w:val="00494F36"/>
    <w:rsid w:val="004C7739"/>
    <w:rsid w:val="0051021C"/>
    <w:rsid w:val="00510946"/>
    <w:rsid w:val="005416D0"/>
    <w:rsid w:val="0057280C"/>
    <w:rsid w:val="006732B7"/>
    <w:rsid w:val="006D2143"/>
    <w:rsid w:val="007020F7"/>
    <w:rsid w:val="00767FF2"/>
    <w:rsid w:val="007801E8"/>
    <w:rsid w:val="00781A49"/>
    <w:rsid w:val="007B49C4"/>
    <w:rsid w:val="007D625F"/>
    <w:rsid w:val="007E2EA7"/>
    <w:rsid w:val="0085572A"/>
    <w:rsid w:val="008D47B3"/>
    <w:rsid w:val="0096602E"/>
    <w:rsid w:val="00987D72"/>
    <w:rsid w:val="009E3BDA"/>
    <w:rsid w:val="00A24E81"/>
    <w:rsid w:val="00AE3456"/>
    <w:rsid w:val="00BC2023"/>
    <w:rsid w:val="00BE516A"/>
    <w:rsid w:val="00C12872"/>
    <w:rsid w:val="00C73374"/>
    <w:rsid w:val="00D748D8"/>
    <w:rsid w:val="00DF072C"/>
    <w:rsid w:val="00E82257"/>
    <w:rsid w:val="00EA71C5"/>
    <w:rsid w:val="00EB614A"/>
    <w:rsid w:val="00F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F4C2C"/>
  <w15:chartTrackingRefBased/>
  <w15:docId w15:val="{6A95E600-D4AE-45E2-A8F8-BE87CF6B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2B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87D72"/>
    <w:pPr>
      <w:keepNext/>
      <w:spacing w:before="240" w:after="60"/>
      <w:jc w:val="left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7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72A"/>
  </w:style>
  <w:style w:type="paragraph" w:styleId="a5">
    <w:name w:val="footer"/>
    <w:basedOn w:val="a"/>
    <w:link w:val="a6"/>
    <w:uiPriority w:val="99"/>
    <w:unhideWhenUsed/>
    <w:rsid w:val="008557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572A"/>
  </w:style>
  <w:style w:type="table" w:styleId="a7">
    <w:name w:val="Table Grid"/>
    <w:basedOn w:val="a1"/>
    <w:uiPriority w:val="39"/>
    <w:rsid w:val="0085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987D7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8">
    <w:name w:val="List Paragraph"/>
    <w:aliases w:val="List Paragraph1,Íóìåðîâàíûé ñïèñîê,Нумерованый список"/>
    <w:basedOn w:val="a"/>
    <w:link w:val="a9"/>
    <w:uiPriority w:val="34"/>
    <w:qFormat/>
    <w:rsid w:val="00987D72"/>
    <w:pPr>
      <w:ind w:left="708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987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List Paragraph1 Знак,Íóìåðîâàíûé ñïèñîê Знак,Нумерованый список Знак"/>
    <w:link w:val="a8"/>
    <w:uiPriority w:val="34"/>
    <w:rsid w:val="00987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04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0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 Илья Иванович</dc:creator>
  <cp:keywords/>
  <dc:description/>
  <cp:lastModifiedBy>Мацукевич Михаил Сергеевич</cp:lastModifiedBy>
  <cp:revision>2</cp:revision>
  <cp:lastPrinted>2026-02-24T12:12:00Z</cp:lastPrinted>
  <dcterms:created xsi:type="dcterms:W3CDTF">2026-02-24T16:33:00Z</dcterms:created>
  <dcterms:modified xsi:type="dcterms:W3CDTF">2026-02-24T16:33:00Z</dcterms:modified>
</cp:coreProperties>
</file>